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78617FBE"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9B60CA">
        <w:rPr>
          <w:rFonts w:eastAsia="Times New Roman"/>
          <w:bCs/>
          <w:sz w:val="24"/>
          <w:szCs w:val="24"/>
          <w:lang w:eastAsia="ja-JP"/>
        </w:rPr>
        <w:t>GPP TSG-RAN WG2 #107</w:t>
      </w:r>
      <w:r w:rsidRPr="00705E1C">
        <w:rPr>
          <w:rFonts w:eastAsia="Times New Roman"/>
          <w:bCs/>
          <w:sz w:val="24"/>
          <w:szCs w:val="24"/>
          <w:lang w:eastAsia="ja-JP"/>
        </w:rPr>
        <w:t xml:space="preserve"> </w:t>
      </w:r>
      <w:r w:rsidR="00D7765D">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D5F6E" w:rsidRPr="00AD5F6E">
        <w:rPr>
          <w:rFonts w:eastAsia="Times New Roman"/>
          <w:bCs/>
          <w:sz w:val="24"/>
          <w:szCs w:val="24"/>
          <w:lang w:eastAsia="ja-JP"/>
        </w:rPr>
        <w:t>R2-1909140</w:t>
      </w:r>
    </w:p>
    <w:p w14:paraId="002074C9" w14:textId="538CFEBC" w:rsidR="00D7765D" w:rsidRDefault="009B60CA" w:rsidP="00D7765D">
      <w:pPr>
        <w:pStyle w:val="3GPPHeader"/>
        <w:spacing w:after="0"/>
        <w:rPr>
          <w:rFonts w:ascii="Arial" w:eastAsia="Times New Roman" w:hAnsi="Arial"/>
          <w:bCs/>
          <w:noProof/>
          <w:szCs w:val="24"/>
          <w:lang w:eastAsia="ja-JP"/>
        </w:rPr>
      </w:pPr>
      <w:r w:rsidRPr="009B60CA">
        <w:rPr>
          <w:rFonts w:ascii="Arial" w:eastAsia="Times New Roman" w:hAnsi="Arial"/>
          <w:bCs/>
          <w:noProof/>
          <w:szCs w:val="24"/>
          <w:lang w:eastAsia="ja-JP"/>
        </w:rPr>
        <w:t>Prague, Czech Republic, 26</w:t>
      </w:r>
      <w:r w:rsidRPr="009B60CA">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9B60CA">
        <w:rPr>
          <w:rFonts w:ascii="Arial" w:eastAsia="Times New Roman" w:hAnsi="Arial"/>
          <w:bCs/>
          <w:noProof/>
          <w:szCs w:val="24"/>
          <w:lang w:eastAsia="ja-JP"/>
        </w:rPr>
        <w:t>- 30</w:t>
      </w:r>
      <w:r w:rsidRPr="009B60CA">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9B60CA">
        <w:rPr>
          <w:rFonts w:ascii="Arial" w:eastAsia="Times New Roman" w:hAnsi="Arial"/>
          <w:bCs/>
          <w:noProof/>
          <w:szCs w:val="24"/>
          <w:lang w:eastAsia="ja-JP"/>
        </w:rPr>
        <w:t>August 2019</w:t>
      </w:r>
    </w:p>
    <w:p w14:paraId="2C9DD292" w14:textId="77777777" w:rsidR="00705E1C" w:rsidRPr="0053682B" w:rsidRDefault="00705E1C" w:rsidP="00D7765D">
      <w:pPr>
        <w:pStyle w:val="3GPPHeader"/>
        <w:spacing w:after="0"/>
        <w:rPr>
          <w:rFonts w:ascii="Arial" w:hAnsi="Arial" w:cs="Arial"/>
          <w:szCs w:val="24"/>
        </w:rPr>
      </w:pPr>
    </w:p>
    <w:p w14:paraId="782CEDA7" w14:textId="7E66C658"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A70EA">
        <w:rPr>
          <w:rFonts w:ascii="Arial" w:hAnsi="Arial" w:cs="Arial"/>
          <w:szCs w:val="24"/>
          <w:lang w:val="sv-SE"/>
        </w:rPr>
        <w:t xml:space="preserve">    11</w:t>
      </w:r>
      <w:r w:rsidR="004F725A">
        <w:rPr>
          <w:rFonts w:ascii="Arial" w:hAnsi="Arial" w:cs="Arial"/>
          <w:szCs w:val="24"/>
          <w:lang w:val="sv-SE"/>
        </w:rPr>
        <w:t>.</w:t>
      </w:r>
      <w:r w:rsidR="00B72527">
        <w:rPr>
          <w:rFonts w:ascii="Arial" w:hAnsi="Arial" w:cs="Arial"/>
          <w:szCs w:val="24"/>
          <w:lang w:val="sv-SE"/>
        </w:rPr>
        <w:t>20.1</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76002154" w:rsidR="00D7765D" w:rsidRPr="007D4867" w:rsidRDefault="00670368"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791EA8">
        <w:rPr>
          <w:b/>
          <w:sz w:val="24"/>
        </w:rPr>
        <w:t>Discussion on measurement gap capability</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2796B8C5" w14:textId="54335F50" w:rsidR="008135C8" w:rsidRDefault="00C61067" w:rsidP="008135C8">
      <w:pPr>
        <w:pStyle w:val="Doc-text2"/>
        <w:tabs>
          <w:tab w:val="left" w:pos="340"/>
        </w:tabs>
        <w:ind w:left="0" w:firstLine="0"/>
        <w:jc w:val="both"/>
      </w:pPr>
      <w:r>
        <w:t>In the RAN2#100, RAN2 has the following</w:t>
      </w:r>
      <w:r w:rsidR="00D83562" w:rsidRPr="00D83562">
        <w:t xml:space="preserve"> agreements </w:t>
      </w:r>
      <w:r>
        <w:t>related to measurement gap capability for NR measurement</w:t>
      </w:r>
      <w:r w:rsidR="00D83562">
        <w:t>.</w:t>
      </w:r>
    </w:p>
    <w:p w14:paraId="4DD81151" w14:textId="77777777" w:rsidR="00BA11F1" w:rsidRDefault="00BA11F1" w:rsidP="00BA11F1">
      <w:pPr>
        <w:pStyle w:val="Doc-text2"/>
      </w:pPr>
    </w:p>
    <w:p w14:paraId="751D20F9" w14:textId="77777777" w:rsidR="00BA11F1" w:rsidRPr="000049BA" w:rsidRDefault="00BA11F1" w:rsidP="00BA11F1">
      <w:pPr>
        <w:pStyle w:val="Doc-text2"/>
        <w:pBdr>
          <w:top w:val="single" w:sz="4" w:space="1" w:color="auto"/>
          <w:left w:val="single" w:sz="4" w:space="4" w:color="auto"/>
          <w:bottom w:val="single" w:sz="4" w:space="1" w:color="auto"/>
          <w:right w:val="single" w:sz="4" w:space="4" w:color="auto"/>
        </w:pBdr>
        <w:rPr>
          <w:b/>
        </w:rPr>
      </w:pPr>
      <w:r w:rsidRPr="000049BA">
        <w:rPr>
          <w:b/>
        </w:rPr>
        <w:t>Agreements:</w:t>
      </w:r>
    </w:p>
    <w:p w14:paraId="7986D468" w14:textId="77777777" w:rsidR="00BA11F1" w:rsidRDefault="00BA11F1" w:rsidP="00BA11F1">
      <w:pPr>
        <w:pStyle w:val="Doc-text2"/>
        <w:pBdr>
          <w:top w:val="single" w:sz="4" w:space="1" w:color="auto"/>
          <w:left w:val="single" w:sz="4" w:space="4" w:color="auto"/>
          <w:bottom w:val="single" w:sz="4" w:space="1" w:color="auto"/>
          <w:right w:val="single" w:sz="4" w:space="4" w:color="auto"/>
        </w:pBdr>
      </w:pPr>
      <w:r>
        <w:t>1</w:t>
      </w:r>
      <w:r>
        <w:tab/>
        <w:t>In the case of per UE measurement gap configuration, MN decides the configuration and informs the SN about the configuration.</w:t>
      </w:r>
    </w:p>
    <w:p w14:paraId="448FA5F9" w14:textId="77777777" w:rsidR="00BA11F1" w:rsidRDefault="00BA11F1" w:rsidP="00BA11F1">
      <w:pPr>
        <w:pStyle w:val="Doc-text2"/>
        <w:pBdr>
          <w:top w:val="single" w:sz="4" w:space="1" w:color="auto"/>
          <w:left w:val="single" w:sz="4" w:space="4" w:color="auto"/>
          <w:bottom w:val="single" w:sz="4" w:space="1" w:color="auto"/>
          <w:right w:val="single" w:sz="4" w:space="4" w:color="auto"/>
        </w:pBdr>
      </w:pPr>
    </w:p>
    <w:p w14:paraId="55DF159A" w14:textId="77777777" w:rsidR="00BA11F1" w:rsidRPr="00BA11F1" w:rsidRDefault="00BA11F1" w:rsidP="00BA11F1">
      <w:pPr>
        <w:pStyle w:val="Doc-text2"/>
        <w:pBdr>
          <w:top w:val="single" w:sz="4" w:space="1" w:color="auto"/>
          <w:left w:val="single" w:sz="4" w:space="4" w:color="auto"/>
          <w:bottom w:val="single" w:sz="4" w:space="1" w:color="auto"/>
          <w:right w:val="single" w:sz="4" w:space="4" w:color="auto"/>
        </w:pBdr>
        <w:rPr>
          <w:highlight w:val="yellow"/>
        </w:rPr>
      </w:pPr>
      <w:r w:rsidRPr="00BA11F1">
        <w:rPr>
          <w:highlight w:val="yellow"/>
        </w:rPr>
        <w:t>2</w:t>
      </w:r>
      <w:r w:rsidRPr="00BA11F1">
        <w:rPr>
          <w:highlight w:val="yellow"/>
        </w:rPr>
        <w:tab/>
        <w:t>For Dec 17, adopt a solution where:</w:t>
      </w:r>
    </w:p>
    <w:p w14:paraId="6A4C8E1C" w14:textId="77777777" w:rsidR="00BA11F1" w:rsidRPr="00BA11F1" w:rsidRDefault="00BA11F1" w:rsidP="00BA11F1">
      <w:pPr>
        <w:pStyle w:val="Doc-text2"/>
        <w:pBdr>
          <w:top w:val="single" w:sz="4" w:space="1" w:color="auto"/>
          <w:left w:val="single" w:sz="4" w:space="4" w:color="auto"/>
          <w:bottom w:val="single" w:sz="4" w:space="1" w:color="auto"/>
          <w:right w:val="single" w:sz="4" w:space="4" w:color="auto"/>
        </w:pBdr>
        <w:rPr>
          <w:highlight w:val="yellow"/>
        </w:rPr>
      </w:pPr>
      <w:r w:rsidRPr="00BA11F1">
        <w:rPr>
          <w:highlight w:val="yellow"/>
        </w:rPr>
        <w:tab/>
        <w:t>a/ For case of a single gap case the network always configures per UE gaps if the UE is configured to measure any inter-freq or inter-RAT carrier or intra-freq cases where gaps are required.</w:t>
      </w:r>
    </w:p>
    <w:p w14:paraId="15F4A7DC" w14:textId="77777777" w:rsidR="00BA11F1" w:rsidRDefault="00BA11F1" w:rsidP="00BA11F1">
      <w:pPr>
        <w:pStyle w:val="Doc-text2"/>
        <w:pBdr>
          <w:top w:val="single" w:sz="4" w:space="1" w:color="auto"/>
          <w:left w:val="single" w:sz="4" w:space="4" w:color="auto"/>
          <w:bottom w:val="single" w:sz="4" w:space="1" w:color="auto"/>
          <w:right w:val="single" w:sz="4" w:space="4" w:color="auto"/>
        </w:pBdr>
      </w:pPr>
      <w:r w:rsidRPr="00BA11F1">
        <w:rPr>
          <w:highlight w:val="yellow"/>
        </w:rPr>
        <w:tab/>
        <w:t>b/ For the independent gap case the network always configures for the LTE/FR1 gaps if the UE is configured to measure any carrier within the FR1 range, and network always configures for the FR2 gaps if the UE is configured to measure any carrier within the FR2 range.</w:t>
      </w:r>
    </w:p>
    <w:p w14:paraId="65D854AC" w14:textId="77777777" w:rsidR="00BA11F1" w:rsidRDefault="00BA11F1" w:rsidP="00BA11F1">
      <w:pPr>
        <w:pStyle w:val="Doc-text2"/>
        <w:pBdr>
          <w:top w:val="single" w:sz="4" w:space="1" w:color="auto"/>
          <w:left w:val="single" w:sz="4" w:space="4" w:color="auto"/>
          <w:bottom w:val="single" w:sz="4" w:space="1" w:color="auto"/>
          <w:right w:val="single" w:sz="4" w:space="4" w:color="auto"/>
        </w:pBdr>
      </w:pPr>
    </w:p>
    <w:p w14:paraId="37353BB4" w14:textId="77777777" w:rsidR="00BA11F1" w:rsidRDefault="00BA11F1" w:rsidP="00BA11F1">
      <w:pPr>
        <w:pStyle w:val="Doc-text2"/>
        <w:pBdr>
          <w:top w:val="single" w:sz="4" w:space="1" w:color="auto"/>
          <w:left w:val="single" w:sz="4" w:space="4" w:color="auto"/>
          <w:bottom w:val="single" w:sz="4" w:space="1" w:color="auto"/>
          <w:right w:val="single" w:sz="4" w:space="4" w:color="auto"/>
        </w:pBdr>
      </w:pPr>
      <w:r>
        <w:t>3</w:t>
      </w:r>
      <w:r>
        <w:tab/>
      </w:r>
      <w:r w:rsidRPr="00E26B68">
        <w:t>For the independent gap case</w:t>
      </w:r>
      <w:r>
        <w:t xml:space="preserve"> once EN-DC is setup:</w:t>
      </w:r>
    </w:p>
    <w:p w14:paraId="10402D7A" w14:textId="77777777" w:rsidR="00BA11F1" w:rsidRDefault="00BA11F1" w:rsidP="00BA11F1">
      <w:pPr>
        <w:pStyle w:val="Doc-text2"/>
        <w:pBdr>
          <w:top w:val="single" w:sz="4" w:space="1" w:color="auto"/>
          <w:left w:val="single" w:sz="4" w:space="4" w:color="auto"/>
          <w:bottom w:val="single" w:sz="4" w:space="1" w:color="auto"/>
          <w:right w:val="single" w:sz="4" w:space="4" w:color="auto"/>
        </w:pBdr>
      </w:pPr>
      <w:r>
        <w:tab/>
        <w:t>a/</w:t>
      </w:r>
      <w:r>
        <w:tab/>
        <w:t>the MN should inform the measurement gap pattern configuration on FR1 to the SN</w:t>
      </w:r>
    </w:p>
    <w:p w14:paraId="091D66EF" w14:textId="77777777" w:rsidR="00BA11F1" w:rsidRDefault="00BA11F1" w:rsidP="00BA11F1">
      <w:pPr>
        <w:pStyle w:val="Doc-text2"/>
        <w:pBdr>
          <w:top w:val="single" w:sz="4" w:space="1" w:color="auto"/>
          <w:left w:val="single" w:sz="4" w:space="4" w:color="auto"/>
          <w:bottom w:val="single" w:sz="4" w:space="1" w:color="auto"/>
          <w:right w:val="single" w:sz="4" w:space="4" w:color="auto"/>
        </w:pBdr>
      </w:pPr>
      <w:r>
        <w:tab/>
        <w:t xml:space="preserve">b/ </w:t>
      </w:r>
      <w:r>
        <w:tab/>
        <w:t xml:space="preserve">the MN should inform the SN that it wants to measure in FR2 frequency(ies). </w:t>
      </w:r>
      <w:r w:rsidRPr="003A13E1">
        <w:t>Some</w:t>
      </w:r>
      <w:r>
        <w:t xml:space="preserve"> assistance information to the S</w:t>
      </w:r>
      <w:r w:rsidRPr="003A13E1">
        <w:t>N to configure the gaps is provided</w:t>
      </w:r>
      <w:r>
        <w:t xml:space="preserve"> </w:t>
      </w:r>
    </w:p>
    <w:p w14:paraId="4802887C" w14:textId="77777777" w:rsidR="00BA11F1" w:rsidRDefault="00BA11F1" w:rsidP="00BA11F1">
      <w:pPr>
        <w:pStyle w:val="Doc-text2"/>
        <w:pBdr>
          <w:top w:val="single" w:sz="4" w:space="1" w:color="auto"/>
          <w:left w:val="single" w:sz="4" w:space="4" w:color="auto"/>
          <w:bottom w:val="single" w:sz="4" w:space="1" w:color="auto"/>
          <w:right w:val="single" w:sz="4" w:space="4" w:color="auto"/>
        </w:pBdr>
      </w:pPr>
      <w:r>
        <w:tab/>
        <w:t xml:space="preserve">c/ </w:t>
      </w:r>
      <w:r>
        <w:tab/>
        <w:t>the SN should inform the MN that it wants to measure in NR carriers in FR1</w:t>
      </w:r>
      <w:r w:rsidRPr="00E26B68">
        <w:t xml:space="preserve"> </w:t>
      </w:r>
      <w:r>
        <w:t>range, if the SN has not already received a measurement gap pattern.  Some assistance information to the MN to configure the gaps is provided</w:t>
      </w:r>
    </w:p>
    <w:p w14:paraId="243AD697" w14:textId="77777777" w:rsidR="00BA11F1" w:rsidRDefault="00BA11F1" w:rsidP="00BA11F1">
      <w:pPr>
        <w:pStyle w:val="Doc-text2"/>
        <w:pBdr>
          <w:top w:val="single" w:sz="4" w:space="1" w:color="auto"/>
          <w:left w:val="single" w:sz="4" w:space="4" w:color="auto"/>
          <w:bottom w:val="single" w:sz="4" w:space="1" w:color="auto"/>
          <w:right w:val="single" w:sz="4" w:space="4" w:color="auto"/>
        </w:pBdr>
      </w:pPr>
      <w:r>
        <w:t>FFS What assistance information is required</w:t>
      </w:r>
    </w:p>
    <w:p w14:paraId="004714A8" w14:textId="77777777" w:rsidR="00BA11F1" w:rsidRDefault="00BA11F1" w:rsidP="00BA11F1">
      <w:pPr>
        <w:pStyle w:val="Doc-text2"/>
        <w:pBdr>
          <w:top w:val="single" w:sz="4" w:space="1" w:color="auto"/>
          <w:left w:val="single" w:sz="4" w:space="4" w:color="auto"/>
          <w:bottom w:val="single" w:sz="4" w:space="1" w:color="auto"/>
          <w:right w:val="single" w:sz="4" w:space="4" w:color="auto"/>
        </w:pBdr>
      </w:pPr>
    </w:p>
    <w:p w14:paraId="41F0348B" w14:textId="77777777" w:rsidR="00BA11F1" w:rsidRDefault="00BA11F1" w:rsidP="00BA11F1">
      <w:pPr>
        <w:pStyle w:val="Doc-text2"/>
        <w:pBdr>
          <w:top w:val="single" w:sz="4" w:space="1" w:color="auto"/>
          <w:left w:val="single" w:sz="4" w:space="4" w:color="auto"/>
          <w:bottom w:val="single" w:sz="4" w:space="1" w:color="auto"/>
          <w:right w:val="single" w:sz="4" w:space="4" w:color="auto"/>
        </w:pBdr>
      </w:pPr>
      <w:r>
        <w:t>4</w:t>
      </w:r>
      <w:r>
        <w:tab/>
      </w:r>
      <w:r w:rsidRPr="00E26B68">
        <w:t xml:space="preserve">For the </w:t>
      </w:r>
      <w:r>
        <w:t>per UE</w:t>
      </w:r>
      <w:r w:rsidRPr="00E26B68">
        <w:t xml:space="preserve"> gap case</w:t>
      </w:r>
      <w:r>
        <w:t xml:space="preserve"> once EN-DC is setup:</w:t>
      </w:r>
    </w:p>
    <w:p w14:paraId="371C853A" w14:textId="77777777" w:rsidR="00BA11F1" w:rsidRDefault="00BA11F1" w:rsidP="00BA11F1">
      <w:pPr>
        <w:pStyle w:val="Doc-text2"/>
        <w:pBdr>
          <w:top w:val="single" w:sz="4" w:space="1" w:color="auto"/>
          <w:left w:val="single" w:sz="4" w:space="4" w:color="auto"/>
          <w:bottom w:val="single" w:sz="4" w:space="1" w:color="auto"/>
          <w:right w:val="single" w:sz="4" w:space="4" w:color="auto"/>
        </w:pBdr>
      </w:pPr>
      <w:r>
        <w:tab/>
        <w:t>a/</w:t>
      </w:r>
      <w:r>
        <w:tab/>
        <w:t>the MN should inform the measurement gap pattern configuration to the SN</w:t>
      </w:r>
    </w:p>
    <w:p w14:paraId="5C2FC3EE" w14:textId="77777777" w:rsidR="00BA11F1" w:rsidRDefault="00BA11F1" w:rsidP="00BA11F1">
      <w:pPr>
        <w:pStyle w:val="Doc-text2"/>
        <w:pBdr>
          <w:top w:val="single" w:sz="4" w:space="1" w:color="auto"/>
          <w:left w:val="single" w:sz="4" w:space="4" w:color="auto"/>
          <w:bottom w:val="single" w:sz="4" w:space="1" w:color="auto"/>
          <w:right w:val="single" w:sz="4" w:space="4" w:color="auto"/>
        </w:pBdr>
      </w:pPr>
      <w:r>
        <w:tab/>
        <w:t xml:space="preserve">b/ </w:t>
      </w:r>
      <w:r>
        <w:tab/>
        <w:t xml:space="preserve"> the SN should inform the MN that it wants to measure </w:t>
      </w:r>
      <w:r w:rsidRPr="003A13E1">
        <w:t>any inter-freq carrier or intra-freq cases where gaps are required.</w:t>
      </w:r>
      <w:r>
        <w:t xml:space="preserve">  Some assistance information to the MN to configure the gaps is provided</w:t>
      </w:r>
    </w:p>
    <w:p w14:paraId="2F7C74B4" w14:textId="77777777" w:rsidR="00BA11F1" w:rsidRDefault="00BA11F1" w:rsidP="00BA11F1">
      <w:pPr>
        <w:pStyle w:val="Doc-text2"/>
        <w:pBdr>
          <w:top w:val="single" w:sz="4" w:space="1" w:color="auto"/>
          <w:left w:val="single" w:sz="4" w:space="4" w:color="auto"/>
          <w:bottom w:val="single" w:sz="4" w:space="1" w:color="auto"/>
          <w:right w:val="single" w:sz="4" w:space="4" w:color="auto"/>
        </w:pBdr>
      </w:pPr>
    </w:p>
    <w:p w14:paraId="5495DECD" w14:textId="77777777" w:rsidR="00BA11F1" w:rsidRDefault="00BA11F1" w:rsidP="00BA11F1">
      <w:pPr>
        <w:pStyle w:val="Doc-text2"/>
        <w:pBdr>
          <w:top w:val="single" w:sz="4" w:space="1" w:color="auto"/>
          <w:left w:val="single" w:sz="4" w:space="4" w:color="auto"/>
          <w:bottom w:val="single" w:sz="4" w:space="1" w:color="auto"/>
          <w:right w:val="single" w:sz="4" w:space="4" w:color="auto"/>
        </w:pBdr>
      </w:pPr>
      <w:r>
        <w:t>5</w:t>
      </w:r>
      <w:r>
        <w:tab/>
        <w:t>Capability is added to indicate support for independent gap configuration for FR1 and FR2</w:t>
      </w:r>
    </w:p>
    <w:p w14:paraId="3649E6BA" w14:textId="77777777" w:rsidR="00BA11F1" w:rsidRDefault="00BA11F1" w:rsidP="008135C8">
      <w:pPr>
        <w:pStyle w:val="Doc-text2"/>
        <w:tabs>
          <w:tab w:val="left" w:pos="340"/>
        </w:tabs>
        <w:ind w:left="0" w:firstLine="0"/>
        <w:jc w:val="both"/>
      </w:pPr>
    </w:p>
    <w:p w14:paraId="643CACD7" w14:textId="3FDC6FEC" w:rsidR="00F81F1D" w:rsidRDefault="00980B95" w:rsidP="008135C8">
      <w:pPr>
        <w:pStyle w:val="Doc-text2"/>
        <w:tabs>
          <w:tab w:val="left" w:pos="340"/>
        </w:tabs>
        <w:ind w:left="0" w:firstLine="0"/>
        <w:jc w:val="both"/>
      </w:pPr>
      <w:r>
        <w:t xml:space="preserve">The conclusion at that time is that the network will always configure the gap in case of inter-frequency or inter-RAT </w:t>
      </w:r>
      <w:r w:rsidR="00654A94">
        <w:t xml:space="preserve">NR </w:t>
      </w:r>
      <w:r>
        <w:t xml:space="preserve">measurement in REL-15. This </w:t>
      </w:r>
      <w:r w:rsidR="00D3696C">
        <w:t>paper discusses the need for measurement gap capability signaling and the possible solutions in REL-16.</w:t>
      </w: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60D27375" w14:textId="5E08C6E2" w:rsidR="00F175EC" w:rsidRDefault="00F175EC" w:rsidP="00EF6B92">
      <w:pPr>
        <w:pStyle w:val="Doc-text2"/>
        <w:tabs>
          <w:tab w:val="left" w:pos="340"/>
        </w:tabs>
        <w:ind w:left="0" w:firstLine="0"/>
        <w:jc w:val="both"/>
        <w:rPr>
          <w:rFonts w:cs="Arial"/>
          <w:lang w:val="en-GB"/>
        </w:rPr>
      </w:pPr>
      <w:r>
        <w:rPr>
          <w:rFonts w:cs="Arial"/>
          <w:lang w:val="en-GB"/>
        </w:rPr>
        <w:t xml:space="preserve">In LTE, </w:t>
      </w:r>
      <w:r w:rsidR="001A404D">
        <w:rPr>
          <w:rFonts w:cs="Arial"/>
          <w:lang w:val="en-GB"/>
        </w:rPr>
        <w:t xml:space="preserve">we have the </w:t>
      </w:r>
      <w:r w:rsidR="001A404D" w:rsidRPr="001A404D">
        <w:rPr>
          <w:rFonts w:cs="Arial"/>
          <w:i/>
          <w:lang w:val="en-GB"/>
        </w:rPr>
        <w:t>needForGap</w:t>
      </w:r>
      <w:r w:rsidR="001A404D">
        <w:rPr>
          <w:rFonts w:cs="Arial"/>
          <w:lang w:val="en-GB"/>
        </w:rPr>
        <w:t xml:space="preserve"> capabil</w:t>
      </w:r>
      <w:r w:rsidR="00654A94">
        <w:rPr>
          <w:rFonts w:cs="Arial"/>
          <w:lang w:val="en-GB"/>
        </w:rPr>
        <w:t>ity signalling which defines that whether a</w:t>
      </w:r>
      <w:r w:rsidR="001A404D">
        <w:rPr>
          <w:rFonts w:cs="Arial"/>
          <w:lang w:val="en-GB"/>
        </w:rPr>
        <w:t xml:space="preserve"> UE requires measurement gap to measure a particular target frequency. In NR, we understand the corresponding capability is not </w:t>
      </w:r>
      <w:r w:rsidR="00FE0A26">
        <w:rPr>
          <w:rFonts w:cs="Arial"/>
          <w:lang w:val="en-GB"/>
        </w:rPr>
        <w:t>defined due to time limitation.</w:t>
      </w:r>
      <w:r w:rsidR="00CF3CD3">
        <w:rPr>
          <w:rFonts w:cs="Arial"/>
          <w:lang w:val="en-GB"/>
        </w:rPr>
        <w:t xml:space="preserve"> The consequence is that the network always provides measurement gap for NR measurement in REL-15. </w:t>
      </w:r>
    </w:p>
    <w:p w14:paraId="291503AB" w14:textId="77777777" w:rsidR="00F175EC" w:rsidRDefault="00F175EC" w:rsidP="00EF6B92">
      <w:pPr>
        <w:pStyle w:val="Doc-text2"/>
        <w:tabs>
          <w:tab w:val="left" w:pos="340"/>
        </w:tabs>
        <w:ind w:left="0" w:firstLine="0"/>
        <w:jc w:val="both"/>
        <w:rPr>
          <w:rFonts w:cs="Arial"/>
          <w:lang w:val="en-GB"/>
        </w:rPr>
      </w:pPr>
    </w:p>
    <w:p w14:paraId="5F2281FC" w14:textId="67C1A199" w:rsidR="00462400" w:rsidRDefault="00CF3CD3" w:rsidP="00EF6B92">
      <w:pPr>
        <w:pStyle w:val="Doc-text2"/>
        <w:tabs>
          <w:tab w:val="left" w:pos="340"/>
        </w:tabs>
        <w:ind w:left="0" w:firstLine="0"/>
        <w:jc w:val="both"/>
        <w:rPr>
          <w:rFonts w:cs="Arial"/>
          <w:lang w:val="en-GB"/>
        </w:rPr>
      </w:pPr>
      <w:r>
        <w:rPr>
          <w:rFonts w:cs="Arial"/>
          <w:lang w:val="en-GB"/>
        </w:rPr>
        <w:t>It is clear that the configuration of measurement gap will result in performance degradation. Inter-frequency and inter-RAT measurement is one of fundamental behaviour for mobility procedure. The “always providing measurement gap” principle has considerable performance lost and should only be a temporary solution in REL-15. We consider that measurement gap capability is a leftover issue for NR baseline and thus propose RAN2 to finish this design in REL-16.</w:t>
      </w:r>
    </w:p>
    <w:p w14:paraId="51ADEFFB" w14:textId="77777777" w:rsidR="00506A6F" w:rsidRPr="001121F3" w:rsidRDefault="00506A6F" w:rsidP="001E63E8">
      <w:pPr>
        <w:pStyle w:val="Doc-text2"/>
        <w:tabs>
          <w:tab w:val="left" w:pos="340"/>
        </w:tabs>
        <w:ind w:left="0" w:firstLine="0"/>
        <w:jc w:val="both"/>
        <w:rPr>
          <w:b/>
          <w:lang w:val="en-GB"/>
        </w:rPr>
      </w:pPr>
    </w:p>
    <w:p w14:paraId="179CAE40" w14:textId="4FFEF620" w:rsidR="00556292" w:rsidRDefault="00556292" w:rsidP="00556292">
      <w:pPr>
        <w:pStyle w:val="Doc-text2"/>
        <w:tabs>
          <w:tab w:val="left" w:pos="340"/>
        </w:tabs>
        <w:ind w:left="0" w:firstLine="0"/>
        <w:jc w:val="both"/>
        <w:rPr>
          <w:b/>
        </w:rPr>
      </w:pPr>
      <w:r w:rsidRPr="00B9627E">
        <w:rPr>
          <w:b/>
        </w:rPr>
        <w:t>Proposal</w:t>
      </w:r>
      <w:r w:rsidR="00535960">
        <w:rPr>
          <w:b/>
        </w:rPr>
        <w:t xml:space="preserve"> 1</w:t>
      </w:r>
      <w:r>
        <w:rPr>
          <w:b/>
        </w:rPr>
        <w:t>:</w:t>
      </w:r>
      <w:r w:rsidR="00980B95">
        <w:rPr>
          <w:b/>
        </w:rPr>
        <w:t xml:space="preserve"> RAN2 aims to define the </w:t>
      </w:r>
      <w:r w:rsidR="00980B95" w:rsidRPr="00E944C5">
        <w:rPr>
          <w:b/>
          <w:i/>
        </w:rPr>
        <w:t>needForGap</w:t>
      </w:r>
      <w:r w:rsidR="00980B95">
        <w:rPr>
          <w:b/>
        </w:rPr>
        <w:t xml:space="preserve"> capability signal </w:t>
      </w:r>
      <w:r w:rsidR="004F725A">
        <w:rPr>
          <w:b/>
        </w:rPr>
        <w:t xml:space="preserve">for NR measurement </w:t>
      </w:r>
      <w:r w:rsidR="00980B95">
        <w:rPr>
          <w:b/>
        </w:rPr>
        <w:t>in REL-16</w:t>
      </w:r>
      <w:r w:rsidR="0009580B">
        <w:rPr>
          <w:b/>
        </w:rPr>
        <w:t>.</w:t>
      </w:r>
    </w:p>
    <w:p w14:paraId="4F22AF9A" w14:textId="77777777" w:rsidR="000A27AC" w:rsidRDefault="000A27AC" w:rsidP="00EF20EF">
      <w:pPr>
        <w:pStyle w:val="Doc-text2"/>
        <w:tabs>
          <w:tab w:val="left" w:pos="340"/>
        </w:tabs>
        <w:ind w:left="0" w:firstLine="0"/>
        <w:jc w:val="both"/>
      </w:pPr>
    </w:p>
    <w:p w14:paraId="33D25A88" w14:textId="21A589F5" w:rsidR="00331EE4" w:rsidRDefault="00FC1433" w:rsidP="000251B2">
      <w:pPr>
        <w:pStyle w:val="Doc-text2"/>
        <w:tabs>
          <w:tab w:val="left" w:pos="340"/>
        </w:tabs>
        <w:ind w:left="0" w:firstLine="0"/>
        <w:jc w:val="both"/>
      </w:pPr>
      <w:r w:rsidRPr="00FC1433">
        <w:t xml:space="preserve">In LTE, </w:t>
      </w:r>
      <w:r>
        <w:t xml:space="preserve">the </w:t>
      </w:r>
      <w:r>
        <w:rPr>
          <w:i/>
        </w:rPr>
        <w:t>needF</w:t>
      </w:r>
      <w:r w:rsidRPr="00FC1433">
        <w:rPr>
          <w:i/>
        </w:rPr>
        <w:t>o</w:t>
      </w:r>
      <w:r>
        <w:rPr>
          <w:i/>
        </w:rPr>
        <w:t>r</w:t>
      </w:r>
      <w:r w:rsidRPr="00FC1433">
        <w:rPr>
          <w:i/>
        </w:rPr>
        <w:t>Gap</w:t>
      </w:r>
      <w:r>
        <w:t xml:space="preserve"> signal is </w:t>
      </w:r>
      <w:r w:rsidR="000D6277">
        <w:t xml:space="preserve">defined </w:t>
      </w:r>
      <w:r w:rsidR="000D6277" w:rsidRPr="000D6277">
        <w:t>per band combination per supporting band</w:t>
      </w:r>
      <w:r w:rsidR="000D6277">
        <w:t xml:space="preserve">. </w:t>
      </w:r>
      <w:r w:rsidR="008435EC">
        <w:t xml:space="preserve">In REL-15, some companies argue that </w:t>
      </w:r>
      <w:r w:rsidR="002A1402">
        <w:t>the size of “</w:t>
      </w:r>
      <w:r w:rsidR="002A1402" w:rsidRPr="000D6277">
        <w:t>per band combination</w:t>
      </w:r>
      <w:r w:rsidR="002A1402">
        <w:t>”</w:t>
      </w:r>
      <w:r w:rsidR="00A02548">
        <w:t xml:space="preserve"> capability signaling is too high and propose some kind of dynamic report</w:t>
      </w:r>
      <w:r w:rsidR="00806226">
        <w:t>ing</w:t>
      </w:r>
      <w:r w:rsidR="00A02548">
        <w:t xml:space="preserve"> mechanism for the measurement gap capability.</w:t>
      </w:r>
    </w:p>
    <w:p w14:paraId="276F6CCB" w14:textId="77777777" w:rsidR="00A02548" w:rsidRDefault="00A02548" w:rsidP="000251B2">
      <w:pPr>
        <w:pStyle w:val="Doc-text2"/>
        <w:tabs>
          <w:tab w:val="left" w:pos="340"/>
        </w:tabs>
        <w:ind w:left="0" w:firstLine="0"/>
        <w:jc w:val="both"/>
      </w:pPr>
    </w:p>
    <w:p w14:paraId="2E9CBF5A" w14:textId="089EBF1A" w:rsidR="00A02548" w:rsidRDefault="00A02548" w:rsidP="000251B2">
      <w:pPr>
        <w:pStyle w:val="Doc-text2"/>
        <w:tabs>
          <w:tab w:val="left" w:pos="340"/>
        </w:tabs>
        <w:ind w:left="0" w:firstLine="0"/>
        <w:jc w:val="both"/>
      </w:pPr>
      <w:r>
        <w:lastRenderedPageBreak/>
        <w:t xml:space="preserve">The dynamic capability reporting </w:t>
      </w:r>
      <w:r w:rsidR="00375BF9">
        <w:t>is perform</w:t>
      </w:r>
      <w:r w:rsidR="00967CDC">
        <w:t>ed</w:t>
      </w:r>
      <w:r w:rsidR="00375BF9">
        <w:t xml:space="preserve"> by not reporting the MG capability in UE </w:t>
      </w:r>
      <w:r w:rsidR="003641DF" w:rsidRPr="003641DF">
        <w:t xml:space="preserve">capability transfer </w:t>
      </w:r>
      <w:r w:rsidR="003641DF">
        <w:t>procedure</w:t>
      </w:r>
      <w:r w:rsidR="00375BF9">
        <w:t xml:space="preserve">. The UE will provide its </w:t>
      </w:r>
      <w:r w:rsidR="00375BF9" w:rsidRPr="00375BF9">
        <w:rPr>
          <w:i/>
        </w:rPr>
        <w:t>needForGap</w:t>
      </w:r>
      <w:r w:rsidR="00375BF9">
        <w:t xml:space="preserve"> signaling in response to NW’s reconfiguration (i.e. in </w:t>
      </w:r>
      <w:r w:rsidR="00375BF9" w:rsidRPr="00375BF9">
        <w:rPr>
          <w:i/>
        </w:rPr>
        <w:t>RRCConnectionReconfigurationComplete</w:t>
      </w:r>
      <w:r w:rsidR="00375BF9">
        <w:t>) based on latest band combination</w:t>
      </w:r>
      <w:r w:rsidR="00967CDC">
        <w:t xml:space="preserve"> and other radio configuration</w:t>
      </w:r>
      <w:r w:rsidR="00375BF9">
        <w:t xml:space="preserve">. </w:t>
      </w:r>
      <w:r w:rsidR="00F3163B">
        <w:t xml:space="preserve">The NW then may </w:t>
      </w:r>
      <w:r w:rsidR="00967CDC">
        <w:t xml:space="preserve">reconfigure the MG </w:t>
      </w:r>
      <w:r w:rsidR="00594316">
        <w:t>based</w:t>
      </w:r>
      <w:r w:rsidR="00967CDC">
        <w:t xml:space="preserve"> on UE’s response</w:t>
      </w:r>
      <w:r w:rsidR="00594316">
        <w:t xml:space="preserve"> if necessary</w:t>
      </w:r>
      <w:r w:rsidR="00967CDC">
        <w:t>.</w:t>
      </w:r>
    </w:p>
    <w:p w14:paraId="5C0E3589" w14:textId="77777777" w:rsidR="0048584D" w:rsidRDefault="0048584D" w:rsidP="000251B2">
      <w:pPr>
        <w:pStyle w:val="Doc-text2"/>
        <w:tabs>
          <w:tab w:val="left" w:pos="340"/>
        </w:tabs>
        <w:ind w:left="0" w:firstLine="0"/>
        <w:jc w:val="both"/>
      </w:pPr>
    </w:p>
    <w:p w14:paraId="2828B771" w14:textId="561AD34A" w:rsidR="0048584D" w:rsidRDefault="0048584D" w:rsidP="000251B2">
      <w:pPr>
        <w:pStyle w:val="Doc-text2"/>
        <w:tabs>
          <w:tab w:val="left" w:pos="340"/>
        </w:tabs>
        <w:ind w:left="0" w:firstLine="0"/>
        <w:jc w:val="both"/>
      </w:pPr>
      <w:r>
        <w:t xml:space="preserve">Although we agree that the dynamic reporting is one </w:t>
      </w:r>
      <w:r w:rsidR="00367B9A">
        <w:t xml:space="preserve">way to reduce the size of capability information, it will increase the overall measurement delay for a target frequency </w:t>
      </w:r>
      <w:r w:rsidR="00194A28">
        <w:t xml:space="preserve">that required gap. The network has to wait the response of </w:t>
      </w:r>
      <w:r w:rsidR="002A0C43">
        <w:t>the UE to know whether MG is required for current configuration. The increasing delay of measurement reporting may cause potentially mobility procedure fai</w:t>
      </w:r>
      <w:r w:rsidR="00BE0FA2">
        <w:t xml:space="preserve">lure. Thus we think that dynamic reporting is not suitable. </w:t>
      </w:r>
    </w:p>
    <w:p w14:paraId="21084A65" w14:textId="77777777" w:rsidR="00BE0FA2" w:rsidRDefault="00BE0FA2" w:rsidP="000251B2">
      <w:pPr>
        <w:pStyle w:val="Doc-text2"/>
        <w:tabs>
          <w:tab w:val="left" w:pos="340"/>
        </w:tabs>
        <w:ind w:left="0" w:firstLine="0"/>
        <w:jc w:val="both"/>
      </w:pPr>
    </w:p>
    <w:p w14:paraId="0312113C" w14:textId="1A49CE34" w:rsidR="0048584D" w:rsidRPr="00FC1433" w:rsidRDefault="00BE0FA2" w:rsidP="000251B2">
      <w:pPr>
        <w:pStyle w:val="Doc-text2"/>
        <w:tabs>
          <w:tab w:val="left" w:pos="340"/>
        </w:tabs>
        <w:ind w:left="0" w:firstLine="0"/>
        <w:jc w:val="both"/>
      </w:pPr>
      <w:r>
        <w:t xml:space="preserve">Regarding to the size concern on </w:t>
      </w:r>
      <w:r w:rsidR="00513B7D">
        <w:t>static reporting, this could be ease</w:t>
      </w:r>
      <w:r w:rsidR="00CA4B9A">
        <w:t>d</w:t>
      </w:r>
      <w:r w:rsidR="00513B7D">
        <w:t xml:space="preserve"> by </w:t>
      </w:r>
      <w:r w:rsidR="003F0549">
        <w:t>including the band filter (</w:t>
      </w:r>
      <w:r w:rsidR="00A94DCB">
        <w:t>which is mandatory in</w:t>
      </w:r>
      <w:r w:rsidR="003F0549">
        <w:t xml:space="preserve"> NR) in UE capability enquiry message. Furthermore, in NR REL-16, we are going to </w:t>
      </w:r>
      <w:r w:rsidR="00A94DCB">
        <w:t>have UE ca</w:t>
      </w:r>
      <w:r w:rsidR="00CA4B9A">
        <w:t xml:space="preserve">pability ID and it will reduce the size of UE capability information for the UE(s) with typical capability defined as a capability ID. Therefore, we propose to use static reporting of </w:t>
      </w:r>
      <w:r w:rsidR="00CA4B9A" w:rsidRPr="00CA4B9A">
        <w:rPr>
          <w:i/>
        </w:rPr>
        <w:t>NeedForGap</w:t>
      </w:r>
      <w:r w:rsidR="00CA4B9A">
        <w:t xml:space="preserve"> in REL-15.</w:t>
      </w:r>
    </w:p>
    <w:p w14:paraId="191424D1" w14:textId="77777777" w:rsidR="000251B2" w:rsidRDefault="000251B2" w:rsidP="00EF20EF">
      <w:pPr>
        <w:pStyle w:val="Doc-text2"/>
        <w:tabs>
          <w:tab w:val="left" w:pos="340"/>
        </w:tabs>
        <w:ind w:left="0" w:firstLine="0"/>
        <w:jc w:val="both"/>
      </w:pPr>
    </w:p>
    <w:p w14:paraId="5940F807" w14:textId="5F2E28F3" w:rsidR="00D63EF1" w:rsidRDefault="00D63EF1" w:rsidP="00D63EF1">
      <w:pPr>
        <w:pStyle w:val="Doc-text2"/>
        <w:tabs>
          <w:tab w:val="left" w:pos="340"/>
        </w:tabs>
        <w:ind w:left="0" w:firstLine="0"/>
        <w:jc w:val="both"/>
        <w:rPr>
          <w:b/>
        </w:rPr>
      </w:pPr>
      <w:r w:rsidRPr="00B9627E">
        <w:rPr>
          <w:b/>
        </w:rPr>
        <w:t>Proposal</w:t>
      </w:r>
      <w:r>
        <w:rPr>
          <w:b/>
        </w:rPr>
        <w:t xml:space="preserve"> 2: </w:t>
      </w:r>
      <w:r w:rsidR="008435EC">
        <w:rPr>
          <w:b/>
        </w:rPr>
        <w:t xml:space="preserve">The static </w:t>
      </w:r>
      <w:r w:rsidR="00A02548">
        <w:rPr>
          <w:b/>
        </w:rPr>
        <w:t>reporting</w:t>
      </w:r>
      <w:r w:rsidR="008435EC">
        <w:rPr>
          <w:b/>
        </w:rPr>
        <w:t xml:space="preserve"> for </w:t>
      </w:r>
      <w:r w:rsidR="008435EC" w:rsidRPr="008435EC">
        <w:rPr>
          <w:b/>
          <w:i/>
        </w:rPr>
        <w:t>needForGap</w:t>
      </w:r>
      <w:r w:rsidR="008435EC">
        <w:rPr>
          <w:b/>
        </w:rPr>
        <w:t xml:space="preserve"> (</w:t>
      </w:r>
      <w:r w:rsidR="00375BF9">
        <w:rPr>
          <w:b/>
        </w:rPr>
        <w:t xml:space="preserve">including the </w:t>
      </w:r>
      <w:r w:rsidR="00375BF9" w:rsidRPr="00375BF9">
        <w:rPr>
          <w:b/>
          <w:i/>
        </w:rPr>
        <w:t>needForGap</w:t>
      </w:r>
      <w:r w:rsidR="00375BF9">
        <w:rPr>
          <w:b/>
        </w:rPr>
        <w:t xml:space="preserve"> in UE capability information</w:t>
      </w:r>
      <w:r w:rsidR="008435EC">
        <w:rPr>
          <w:b/>
        </w:rPr>
        <w:t xml:space="preserve">) could be considered as baseline for </w:t>
      </w:r>
      <w:r w:rsidR="008435EC" w:rsidRPr="008435EC">
        <w:rPr>
          <w:b/>
        </w:rPr>
        <w:t>measurement gap capability</w:t>
      </w:r>
      <w:r w:rsidR="008435EC">
        <w:rPr>
          <w:b/>
        </w:rPr>
        <w:t xml:space="preserve"> signaling in REL-16.</w:t>
      </w:r>
    </w:p>
    <w:p w14:paraId="02EEB452" w14:textId="77777777" w:rsidR="000251B2" w:rsidRDefault="000251B2" w:rsidP="00EF20EF">
      <w:pPr>
        <w:pStyle w:val="Doc-text2"/>
        <w:tabs>
          <w:tab w:val="left" w:pos="340"/>
        </w:tabs>
        <w:ind w:left="0" w:firstLine="0"/>
        <w:jc w:val="both"/>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9D1BD14" w:rsidR="00DE28E0" w:rsidRDefault="00DE28E0" w:rsidP="00DE28E0">
      <w:pPr>
        <w:pStyle w:val="Doc-text2"/>
        <w:tabs>
          <w:tab w:val="left" w:pos="340"/>
        </w:tabs>
        <w:ind w:left="0" w:firstLine="0"/>
        <w:jc w:val="both"/>
        <w:rPr>
          <w:b/>
        </w:rPr>
      </w:pPr>
      <w:r>
        <w:rPr>
          <w:rFonts w:cs="Arial"/>
        </w:rPr>
        <w:t>Base on the discussion in secti</w:t>
      </w:r>
      <w:r w:rsidR="00375BF9">
        <w:rPr>
          <w:rFonts w:cs="Arial"/>
        </w:rPr>
        <w:t>on 2, we propose the following:</w:t>
      </w:r>
    </w:p>
    <w:p w14:paraId="0F80D15B" w14:textId="77777777" w:rsidR="008F0233" w:rsidRDefault="008F0233" w:rsidP="008F0233">
      <w:pPr>
        <w:pStyle w:val="Doc-text2"/>
        <w:tabs>
          <w:tab w:val="left" w:pos="340"/>
        </w:tabs>
        <w:ind w:left="0" w:firstLine="0"/>
        <w:jc w:val="both"/>
        <w:rPr>
          <w:b/>
        </w:rPr>
      </w:pPr>
    </w:p>
    <w:p w14:paraId="444FF00C" w14:textId="77777777" w:rsidR="00836DF0" w:rsidRDefault="00836DF0" w:rsidP="00836DF0">
      <w:pPr>
        <w:pStyle w:val="Doc-text2"/>
        <w:tabs>
          <w:tab w:val="left" w:pos="340"/>
        </w:tabs>
        <w:ind w:left="0" w:firstLine="0"/>
        <w:jc w:val="both"/>
        <w:rPr>
          <w:b/>
        </w:rPr>
      </w:pPr>
      <w:r w:rsidRPr="00B9627E">
        <w:rPr>
          <w:b/>
        </w:rPr>
        <w:t>Proposal</w:t>
      </w:r>
      <w:r>
        <w:rPr>
          <w:b/>
        </w:rPr>
        <w:t xml:space="preserve"> 1: RAN2 aims to define the </w:t>
      </w:r>
      <w:r w:rsidRPr="00E944C5">
        <w:rPr>
          <w:b/>
          <w:i/>
        </w:rPr>
        <w:t>needForGap</w:t>
      </w:r>
      <w:r>
        <w:rPr>
          <w:b/>
        </w:rPr>
        <w:t xml:space="preserve"> capability signal for NR measurement in REL-16.</w:t>
      </w:r>
    </w:p>
    <w:p w14:paraId="4EDB8D3F" w14:textId="77777777" w:rsidR="006215FC" w:rsidRDefault="006215FC" w:rsidP="006215FC">
      <w:pPr>
        <w:pStyle w:val="Doc-text2"/>
        <w:tabs>
          <w:tab w:val="left" w:pos="340"/>
        </w:tabs>
        <w:ind w:left="0" w:firstLine="0"/>
        <w:jc w:val="both"/>
        <w:rPr>
          <w:b/>
        </w:rPr>
      </w:pPr>
    </w:p>
    <w:p w14:paraId="479B4845" w14:textId="77777777" w:rsidR="00836DF0" w:rsidRDefault="00836DF0" w:rsidP="00836DF0">
      <w:pPr>
        <w:pStyle w:val="Doc-text2"/>
        <w:tabs>
          <w:tab w:val="left" w:pos="340"/>
        </w:tabs>
        <w:ind w:left="0" w:firstLine="0"/>
        <w:jc w:val="both"/>
        <w:rPr>
          <w:b/>
        </w:rPr>
      </w:pPr>
      <w:r w:rsidRPr="00B9627E">
        <w:rPr>
          <w:b/>
        </w:rPr>
        <w:t>Proposal</w:t>
      </w:r>
      <w:r>
        <w:rPr>
          <w:b/>
        </w:rPr>
        <w:t xml:space="preserve"> 2: The static signalling design for </w:t>
      </w:r>
      <w:r w:rsidRPr="008435EC">
        <w:rPr>
          <w:b/>
          <w:i/>
        </w:rPr>
        <w:t>needForGap</w:t>
      </w:r>
      <w:r>
        <w:rPr>
          <w:b/>
        </w:rPr>
        <w:t xml:space="preserve"> (as in LTE) could be considered as baseline for </w:t>
      </w:r>
      <w:r w:rsidRPr="008435EC">
        <w:rPr>
          <w:b/>
        </w:rPr>
        <w:t>measurement gap capability</w:t>
      </w:r>
      <w:r>
        <w:rPr>
          <w:b/>
        </w:rPr>
        <w:t xml:space="preserve"> signaling in REL-16.</w:t>
      </w:r>
    </w:p>
    <w:p w14:paraId="55375A97" w14:textId="77777777" w:rsidR="00836DF0" w:rsidRDefault="00836DF0" w:rsidP="006215FC">
      <w:pPr>
        <w:pStyle w:val="Doc-text2"/>
        <w:tabs>
          <w:tab w:val="left" w:pos="340"/>
        </w:tabs>
        <w:ind w:left="0" w:firstLine="0"/>
        <w:jc w:val="both"/>
        <w:rPr>
          <w:b/>
        </w:rPr>
      </w:pPr>
    </w:p>
    <w:p w14:paraId="7194A103" w14:textId="77777777" w:rsidR="00F52B90" w:rsidRDefault="00F52B90" w:rsidP="00D809F3">
      <w:pPr>
        <w:spacing w:after="60"/>
        <w:rPr>
          <w:rFonts w:ascii="Arial" w:hAnsi="Arial" w:cs="Arial"/>
          <w:lang w:eastAsia="ko-KR"/>
        </w:rPr>
      </w:pPr>
      <w:bookmarkStart w:id="2" w:name="_GoBack"/>
      <w:bookmarkEnd w:id="2"/>
    </w:p>
    <w:sectPr w:rsidR="00F52B90"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064913" w14:textId="77777777" w:rsidR="00DE69D1" w:rsidRDefault="00DE69D1">
      <w:r>
        <w:separator/>
      </w:r>
    </w:p>
  </w:endnote>
  <w:endnote w:type="continuationSeparator" w:id="0">
    <w:p w14:paraId="484EA607" w14:textId="77777777" w:rsidR="00DE69D1" w:rsidRDefault="00DE6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0145A5" w14:textId="77777777" w:rsidR="00DE69D1" w:rsidRDefault="00DE69D1">
      <w:r>
        <w:separator/>
      </w:r>
    </w:p>
  </w:footnote>
  <w:footnote w:type="continuationSeparator" w:id="0">
    <w:p w14:paraId="373D793B" w14:textId="77777777" w:rsidR="00DE69D1" w:rsidRDefault="00DE69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1"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9"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2"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24"/>
  </w:num>
  <w:num w:numId="4">
    <w:abstractNumId w:val="17"/>
  </w:num>
  <w:num w:numId="5">
    <w:abstractNumId w:val="13"/>
  </w:num>
  <w:num w:numId="6">
    <w:abstractNumId w:val="28"/>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5"/>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45"/>
  </w:num>
  <w:num w:numId="16">
    <w:abstractNumId w:val="34"/>
  </w:num>
  <w:num w:numId="17">
    <w:abstractNumId w:val="44"/>
  </w:num>
  <w:num w:numId="18">
    <w:abstractNumId w:val="23"/>
  </w:num>
  <w:num w:numId="19">
    <w:abstractNumId w:val="15"/>
  </w:num>
  <w:num w:numId="20">
    <w:abstractNumId w:val="42"/>
  </w:num>
  <w:num w:numId="21">
    <w:abstractNumId w:val="33"/>
  </w:num>
  <w:num w:numId="22">
    <w:abstractNumId w:val="16"/>
  </w:num>
  <w:num w:numId="23">
    <w:abstractNumId w:val="6"/>
  </w:num>
  <w:num w:numId="24">
    <w:abstractNumId w:val="14"/>
  </w:num>
  <w:num w:numId="25">
    <w:abstractNumId w:val="4"/>
  </w:num>
  <w:num w:numId="26">
    <w:abstractNumId w:val="25"/>
  </w:num>
  <w:num w:numId="27">
    <w:abstractNumId w:val="40"/>
  </w:num>
  <w:num w:numId="28">
    <w:abstractNumId w:val="30"/>
  </w:num>
  <w:num w:numId="29">
    <w:abstractNumId w:val="38"/>
  </w:num>
  <w:num w:numId="30">
    <w:abstractNumId w:val="18"/>
  </w:num>
  <w:num w:numId="31">
    <w:abstractNumId w:val="31"/>
  </w:num>
  <w:num w:numId="32">
    <w:abstractNumId w:val="7"/>
  </w:num>
  <w:num w:numId="33">
    <w:abstractNumId w:val="22"/>
  </w:num>
  <w:num w:numId="34">
    <w:abstractNumId w:val="32"/>
  </w:num>
  <w:num w:numId="35">
    <w:abstractNumId w:val="12"/>
  </w:num>
  <w:num w:numId="36">
    <w:abstractNumId w:val="41"/>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6"/>
  </w:num>
  <w:num w:numId="39">
    <w:abstractNumId w:val="19"/>
  </w:num>
  <w:num w:numId="40">
    <w:abstractNumId w:val="9"/>
  </w:num>
  <w:num w:numId="41">
    <w:abstractNumId w:val="26"/>
  </w:num>
  <w:num w:numId="42">
    <w:abstractNumId w:val="27"/>
  </w:num>
  <w:num w:numId="43">
    <w:abstractNumId w:val="39"/>
  </w:num>
  <w:num w:numId="44">
    <w:abstractNumId w:val="11"/>
  </w:num>
  <w:num w:numId="45">
    <w:abstractNumId w:val="21"/>
  </w:num>
  <w:num w:numId="46">
    <w:abstractNumId w:val="37"/>
  </w:num>
  <w:num w:numId="47">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627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6E6"/>
    <w:rsid w:val="001110C6"/>
    <w:rsid w:val="00111BF5"/>
    <w:rsid w:val="00111CF7"/>
    <w:rsid w:val="00112115"/>
    <w:rsid w:val="001121F3"/>
    <w:rsid w:val="00112CCC"/>
    <w:rsid w:val="0011355B"/>
    <w:rsid w:val="00114BBE"/>
    <w:rsid w:val="00117EF2"/>
    <w:rsid w:val="001207EA"/>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2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04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7771"/>
    <w:rsid w:val="001D7A4B"/>
    <w:rsid w:val="001E22CA"/>
    <w:rsid w:val="001E238F"/>
    <w:rsid w:val="001E2917"/>
    <w:rsid w:val="001E2A1F"/>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0C43"/>
    <w:rsid w:val="002A1402"/>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0E29"/>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1DF"/>
    <w:rsid w:val="00364219"/>
    <w:rsid w:val="00364503"/>
    <w:rsid w:val="0036455A"/>
    <w:rsid w:val="00364606"/>
    <w:rsid w:val="00364CD9"/>
    <w:rsid w:val="00365835"/>
    <w:rsid w:val="00366497"/>
    <w:rsid w:val="0036662B"/>
    <w:rsid w:val="00366793"/>
    <w:rsid w:val="00366EE7"/>
    <w:rsid w:val="003678AB"/>
    <w:rsid w:val="00367B9A"/>
    <w:rsid w:val="00370010"/>
    <w:rsid w:val="00370F7D"/>
    <w:rsid w:val="00371C01"/>
    <w:rsid w:val="00372AAE"/>
    <w:rsid w:val="00373871"/>
    <w:rsid w:val="00373A04"/>
    <w:rsid w:val="00373A13"/>
    <w:rsid w:val="00374702"/>
    <w:rsid w:val="00374E72"/>
    <w:rsid w:val="00374F27"/>
    <w:rsid w:val="0037521C"/>
    <w:rsid w:val="003752E2"/>
    <w:rsid w:val="003755A2"/>
    <w:rsid w:val="00375BF9"/>
    <w:rsid w:val="0037643B"/>
    <w:rsid w:val="00377924"/>
    <w:rsid w:val="0038025C"/>
    <w:rsid w:val="003809E6"/>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5280"/>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156"/>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549"/>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2C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84D"/>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5A"/>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B7D"/>
    <w:rsid w:val="00513D6A"/>
    <w:rsid w:val="005163AB"/>
    <w:rsid w:val="00516D02"/>
    <w:rsid w:val="0051793B"/>
    <w:rsid w:val="005204A5"/>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4316"/>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A94"/>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D94"/>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1EA8"/>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5804"/>
    <w:rsid w:val="007D6118"/>
    <w:rsid w:val="007D63AD"/>
    <w:rsid w:val="007D63C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226"/>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DF0"/>
    <w:rsid w:val="00836FAC"/>
    <w:rsid w:val="0083730C"/>
    <w:rsid w:val="00837A4B"/>
    <w:rsid w:val="00840378"/>
    <w:rsid w:val="00842B3E"/>
    <w:rsid w:val="00842B67"/>
    <w:rsid w:val="00842E62"/>
    <w:rsid w:val="008430F3"/>
    <w:rsid w:val="008435EC"/>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8C8"/>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67CDC"/>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0B95"/>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705B"/>
    <w:rsid w:val="009C73A0"/>
    <w:rsid w:val="009C753E"/>
    <w:rsid w:val="009C76B5"/>
    <w:rsid w:val="009D0959"/>
    <w:rsid w:val="009D1E16"/>
    <w:rsid w:val="009D3A23"/>
    <w:rsid w:val="009D3E26"/>
    <w:rsid w:val="009D4B94"/>
    <w:rsid w:val="009D5061"/>
    <w:rsid w:val="009D5235"/>
    <w:rsid w:val="009D5252"/>
    <w:rsid w:val="009D5A35"/>
    <w:rsid w:val="009D6A02"/>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2548"/>
    <w:rsid w:val="00A04298"/>
    <w:rsid w:val="00A0504A"/>
    <w:rsid w:val="00A051DE"/>
    <w:rsid w:val="00A05A51"/>
    <w:rsid w:val="00A0669C"/>
    <w:rsid w:val="00A07159"/>
    <w:rsid w:val="00A07568"/>
    <w:rsid w:val="00A10095"/>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4DCB"/>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5F6E"/>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252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1F1"/>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0FA2"/>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06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2D7"/>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A4B9A"/>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6FE"/>
    <w:rsid w:val="00CF246E"/>
    <w:rsid w:val="00CF259B"/>
    <w:rsid w:val="00CF2ADD"/>
    <w:rsid w:val="00CF2FB4"/>
    <w:rsid w:val="00CF3028"/>
    <w:rsid w:val="00CF30EA"/>
    <w:rsid w:val="00CF3CD3"/>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5EC"/>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96C"/>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9D1"/>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CF7"/>
    <w:rsid w:val="00E8612D"/>
    <w:rsid w:val="00E87526"/>
    <w:rsid w:val="00E879BA"/>
    <w:rsid w:val="00E87B16"/>
    <w:rsid w:val="00E9039C"/>
    <w:rsid w:val="00E90D4D"/>
    <w:rsid w:val="00E91619"/>
    <w:rsid w:val="00E92758"/>
    <w:rsid w:val="00E940BC"/>
    <w:rsid w:val="00E944C5"/>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6D"/>
    <w:rsid w:val="00EB3674"/>
    <w:rsid w:val="00EB3D1F"/>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5E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63B"/>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64FF"/>
    <w:rsid w:val="00F67420"/>
    <w:rsid w:val="00F67D84"/>
    <w:rsid w:val="00F67F6D"/>
    <w:rsid w:val="00F70E51"/>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87FDC"/>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F18"/>
    <w:rsid w:val="00FA213D"/>
    <w:rsid w:val="00FA2B35"/>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433"/>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0A26"/>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PMingLiU"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D7765D"/>
    <w:pPr>
      <w:spacing w:after="0"/>
    </w:pPr>
    <w:rPr>
      <w:rFonts w:ascii="Arial" w:eastAsia="PMingLiU" w:hAnsi="Arial" w:cs="Arial"/>
      <w:sz w:val="22"/>
      <w:szCs w:val="24"/>
      <w:lang w:val="en-US" w:eastAsia="zh-CN"/>
    </w:rPr>
  </w:style>
  <w:style w:type="character" w:customStyle="1" w:styleId="B10">
    <w:name w:val="B1 (文字)"/>
    <w:rsid w:val="00D63EF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3D7650-A1EC-448E-964B-B5C14BE21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787</Words>
  <Characters>4486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2017-04-13T02:23:00Z</dcterms:created>
  <dcterms:modified xsi:type="dcterms:W3CDTF">2019-08-14T08:59:00Z</dcterms:modified>
</cp:coreProperties>
</file>